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7BE" w:rsidRDefault="00E247A9" w:rsidP="00AA01B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DNH</w:t>
      </w:r>
      <w:r w:rsidR="00BA2166">
        <w:rPr>
          <w:rFonts w:ascii="Arial" w:hAnsi="Arial" w:cs="Arial"/>
          <w:b/>
          <w:sz w:val="20"/>
          <w:szCs w:val="20"/>
        </w:rPr>
        <w:t>: E</w:t>
      </w:r>
      <w:r w:rsidR="00026B30" w:rsidRPr="00026B30">
        <w:rPr>
          <w:rFonts w:ascii="Arial" w:hAnsi="Arial" w:cs="Arial"/>
          <w:b/>
          <w:sz w:val="20"/>
          <w:szCs w:val="20"/>
        </w:rPr>
        <w:t>xplanation for the differ</w:t>
      </w:r>
      <w:r w:rsidR="00F02E19">
        <w:rPr>
          <w:rFonts w:ascii="Arial" w:hAnsi="Arial" w:cs="Arial"/>
          <w:b/>
          <w:sz w:val="20"/>
          <w:szCs w:val="20"/>
        </w:rPr>
        <w:t>ence</w:t>
      </w:r>
      <w:r w:rsidR="00F943F6">
        <w:rPr>
          <w:rFonts w:ascii="Arial" w:hAnsi="Arial" w:cs="Arial"/>
          <w:b/>
          <w:sz w:val="20"/>
          <w:szCs w:val="20"/>
        </w:rPr>
        <w:t xml:space="preserve"> of over 10%</w:t>
      </w:r>
      <w:r w:rsidR="00F02E19">
        <w:rPr>
          <w:rFonts w:ascii="Arial" w:hAnsi="Arial" w:cs="Arial"/>
          <w:b/>
          <w:sz w:val="20"/>
          <w:szCs w:val="20"/>
        </w:rPr>
        <w:t xml:space="preserve"> in financial statement of</w:t>
      </w:r>
      <w:r w:rsidR="00026B30">
        <w:rPr>
          <w:rFonts w:ascii="Arial" w:hAnsi="Arial" w:cs="Arial"/>
          <w:b/>
          <w:sz w:val="20"/>
          <w:szCs w:val="20"/>
        </w:rPr>
        <w:t xml:space="preserve"> </w:t>
      </w:r>
      <w:r w:rsidR="00026B30" w:rsidRPr="00026B30">
        <w:rPr>
          <w:rFonts w:ascii="Arial" w:hAnsi="Arial" w:cs="Arial"/>
          <w:b/>
          <w:sz w:val="20"/>
          <w:szCs w:val="20"/>
        </w:rPr>
        <w:t>2019 year on year</w:t>
      </w:r>
    </w:p>
    <w:p w:rsidR="00BA2166" w:rsidRDefault="00E36A48" w:rsidP="006C322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E247A9">
        <w:rPr>
          <w:rFonts w:ascii="Arial" w:hAnsi="Arial" w:cs="Arial"/>
          <w:sz w:val="20"/>
          <w:szCs w:val="20"/>
        </w:rPr>
        <w:t>24</w:t>
      </w:r>
      <w:r w:rsidR="00A62855">
        <w:rPr>
          <w:rFonts w:ascii="Arial" w:hAnsi="Arial" w:cs="Arial"/>
          <w:sz w:val="20"/>
          <w:szCs w:val="20"/>
        </w:rPr>
        <w:t xml:space="preserve"> Mar 2020</w:t>
      </w:r>
      <w:r w:rsidR="00467BC0">
        <w:rPr>
          <w:rFonts w:ascii="Arial" w:hAnsi="Arial" w:cs="Arial"/>
          <w:sz w:val="20"/>
          <w:szCs w:val="20"/>
        </w:rPr>
        <w:t xml:space="preserve">, </w:t>
      </w:r>
      <w:r w:rsidR="00E247A9" w:rsidRPr="00E247A9">
        <w:rPr>
          <w:rFonts w:ascii="Arial" w:hAnsi="Arial" w:cs="Arial"/>
          <w:sz w:val="20"/>
          <w:szCs w:val="20"/>
        </w:rPr>
        <w:t xml:space="preserve">Da </w:t>
      </w:r>
      <w:proofErr w:type="spellStart"/>
      <w:r w:rsidR="00E247A9" w:rsidRPr="00E247A9">
        <w:rPr>
          <w:rFonts w:ascii="Arial" w:hAnsi="Arial" w:cs="Arial"/>
          <w:sz w:val="20"/>
          <w:szCs w:val="20"/>
        </w:rPr>
        <w:t>Nhim</w:t>
      </w:r>
      <w:proofErr w:type="spellEnd"/>
      <w:r w:rsidR="00E247A9" w:rsidRPr="00E247A9">
        <w:rPr>
          <w:rFonts w:ascii="Arial" w:hAnsi="Arial" w:cs="Arial"/>
          <w:sz w:val="20"/>
          <w:szCs w:val="20"/>
        </w:rPr>
        <w:t xml:space="preserve"> - Ham </w:t>
      </w:r>
      <w:proofErr w:type="spellStart"/>
      <w:r w:rsidR="00E247A9" w:rsidRPr="00E247A9">
        <w:rPr>
          <w:rFonts w:ascii="Arial" w:hAnsi="Arial" w:cs="Arial"/>
          <w:sz w:val="20"/>
          <w:szCs w:val="20"/>
        </w:rPr>
        <w:t>Thuan</w:t>
      </w:r>
      <w:proofErr w:type="spellEnd"/>
      <w:r w:rsidR="00E247A9" w:rsidRPr="00E247A9">
        <w:rPr>
          <w:rFonts w:ascii="Arial" w:hAnsi="Arial" w:cs="Arial"/>
          <w:sz w:val="20"/>
          <w:szCs w:val="20"/>
        </w:rPr>
        <w:t xml:space="preserve"> - Da </w:t>
      </w:r>
      <w:proofErr w:type="spellStart"/>
      <w:r w:rsidR="00E247A9" w:rsidRPr="00E247A9">
        <w:rPr>
          <w:rFonts w:ascii="Arial" w:hAnsi="Arial" w:cs="Arial"/>
          <w:sz w:val="20"/>
          <w:szCs w:val="20"/>
        </w:rPr>
        <w:t>Mi</w:t>
      </w:r>
      <w:proofErr w:type="spellEnd"/>
      <w:r w:rsidR="00E247A9" w:rsidRPr="00E247A9">
        <w:rPr>
          <w:rFonts w:ascii="Arial" w:hAnsi="Arial" w:cs="Arial"/>
          <w:sz w:val="20"/>
          <w:szCs w:val="20"/>
        </w:rPr>
        <w:t xml:space="preserve"> Hydro power joint stock Company</w:t>
      </w:r>
      <w:r w:rsidR="00E247A9">
        <w:rPr>
          <w:rFonts w:ascii="Arial" w:hAnsi="Arial" w:cs="Arial"/>
          <w:sz w:val="20"/>
          <w:szCs w:val="20"/>
        </w:rPr>
        <w:t xml:space="preserve"> </w:t>
      </w:r>
      <w:r w:rsidR="00026B30">
        <w:rPr>
          <w:rFonts w:ascii="Arial" w:hAnsi="Arial" w:cs="Arial"/>
          <w:sz w:val="20"/>
          <w:szCs w:val="20"/>
        </w:rPr>
        <w:t>explained</w:t>
      </w:r>
      <w:r w:rsidR="00467BC0">
        <w:rPr>
          <w:rFonts w:ascii="Arial" w:hAnsi="Arial" w:cs="Arial"/>
          <w:sz w:val="20"/>
          <w:szCs w:val="20"/>
        </w:rPr>
        <w:t xml:space="preserve"> the</w:t>
      </w:r>
      <w:r w:rsidR="00026B30" w:rsidRPr="00026B30">
        <w:rPr>
          <w:rFonts w:ascii="Arial" w:hAnsi="Arial" w:cs="Arial"/>
          <w:sz w:val="20"/>
          <w:szCs w:val="20"/>
        </w:rPr>
        <w:t xml:space="preserve"> difference</w:t>
      </w:r>
      <w:r w:rsidR="00F943F6">
        <w:rPr>
          <w:rFonts w:ascii="Arial" w:hAnsi="Arial" w:cs="Arial"/>
          <w:sz w:val="20"/>
          <w:szCs w:val="20"/>
        </w:rPr>
        <w:t xml:space="preserve"> of over 10%</w:t>
      </w:r>
      <w:r w:rsidR="00026B30" w:rsidRPr="00026B30">
        <w:rPr>
          <w:rFonts w:ascii="Arial" w:hAnsi="Arial" w:cs="Arial"/>
          <w:sz w:val="20"/>
          <w:szCs w:val="20"/>
        </w:rPr>
        <w:t xml:space="preserve"> </w:t>
      </w:r>
      <w:r w:rsidR="00F02E19">
        <w:rPr>
          <w:rFonts w:ascii="Arial" w:hAnsi="Arial" w:cs="Arial"/>
          <w:sz w:val="20"/>
          <w:szCs w:val="20"/>
        </w:rPr>
        <w:t>in financial statement of</w:t>
      </w:r>
      <w:r w:rsidR="00026B30" w:rsidRPr="00026B30">
        <w:rPr>
          <w:rFonts w:ascii="Arial" w:hAnsi="Arial" w:cs="Arial"/>
          <w:sz w:val="20"/>
          <w:szCs w:val="20"/>
        </w:rPr>
        <w:t xml:space="preserve"> 2019 year on year</w:t>
      </w:r>
      <w:r w:rsidR="00467BC0">
        <w:rPr>
          <w:rFonts w:ascii="Arial" w:hAnsi="Arial" w:cs="Arial"/>
          <w:sz w:val="20"/>
          <w:szCs w:val="20"/>
        </w:rPr>
        <w:t xml:space="preserve"> as follows:</w:t>
      </w:r>
    </w:p>
    <w:p w:rsidR="00E247A9" w:rsidRDefault="00E247A9" w:rsidP="006C322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Separate financial statement </w:t>
      </w:r>
    </w:p>
    <w:p w:rsidR="00E247A9" w:rsidRDefault="00E247A9" w:rsidP="006C322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Unit: million dongs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1530"/>
        <w:gridCol w:w="1350"/>
        <w:gridCol w:w="4968"/>
      </w:tblGrid>
      <w:tr w:rsidR="00E247A9" w:rsidTr="00E247A9">
        <w:tc>
          <w:tcPr>
            <w:tcW w:w="1728" w:type="dxa"/>
          </w:tcPr>
          <w:p w:rsidR="00E247A9" w:rsidRDefault="00E247A9" w:rsidP="00E247A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Indicator</w:t>
            </w:r>
          </w:p>
        </w:tc>
        <w:tc>
          <w:tcPr>
            <w:tcW w:w="1530" w:type="dxa"/>
          </w:tcPr>
          <w:p w:rsidR="00E247A9" w:rsidRDefault="00E247A9" w:rsidP="00E247A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47A9">
              <w:rPr>
                <w:rFonts w:ascii="Arial" w:hAnsi="Arial" w:cs="Arial"/>
                <w:sz w:val="20"/>
                <w:szCs w:val="20"/>
              </w:rPr>
              <w:t>Year 2018</w:t>
            </w:r>
          </w:p>
        </w:tc>
        <w:tc>
          <w:tcPr>
            <w:tcW w:w="1350" w:type="dxa"/>
          </w:tcPr>
          <w:p w:rsidR="00E247A9" w:rsidRDefault="00E247A9" w:rsidP="00E247A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47A9">
              <w:rPr>
                <w:rFonts w:ascii="Arial" w:hAnsi="Arial" w:cs="Arial"/>
                <w:sz w:val="20"/>
                <w:szCs w:val="20"/>
              </w:rPr>
              <w:t>Year 2019</w:t>
            </w:r>
          </w:p>
        </w:tc>
        <w:tc>
          <w:tcPr>
            <w:tcW w:w="4968" w:type="dxa"/>
          </w:tcPr>
          <w:p w:rsidR="00E247A9" w:rsidRDefault="00E247A9" w:rsidP="00E247A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47A9">
              <w:rPr>
                <w:rFonts w:ascii="Arial" w:hAnsi="Arial" w:cs="Arial"/>
                <w:sz w:val="20"/>
                <w:szCs w:val="20"/>
              </w:rPr>
              <w:t xml:space="preserve">Difference </w:t>
            </w:r>
            <w:r>
              <w:rPr>
                <w:rFonts w:ascii="Arial" w:hAnsi="Arial" w:cs="Arial"/>
                <w:sz w:val="20"/>
                <w:szCs w:val="20"/>
              </w:rPr>
              <w:t>(increase /</w:t>
            </w:r>
            <w:r w:rsidRPr="00E247A9">
              <w:rPr>
                <w:rFonts w:ascii="Arial" w:hAnsi="Arial" w:cs="Arial"/>
                <w:sz w:val="20"/>
                <w:szCs w:val="20"/>
              </w:rPr>
              <w:t>decrease)</w:t>
            </w:r>
          </w:p>
        </w:tc>
      </w:tr>
      <w:tr w:rsidR="00E247A9" w:rsidTr="00E247A9">
        <w:tc>
          <w:tcPr>
            <w:tcW w:w="1728" w:type="dxa"/>
          </w:tcPr>
          <w:p w:rsidR="00E247A9" w:rsidRDefault="00E247A9" w:rsidP="00E247A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47A9">
              <w:rPr>
                <w:rFonts w:ascii="Arial" w:hAnsi="Arial" w:cs="Arial"/>
                <w:sz w:val="20"/>
                <w:szCs w:val="20"/>
              </w:rPr>
              <w:t>Profit after tax</w:t>
            </w:r>
          </w:p>
        </w:tc>
        <w:tc>
          <w:tcPr>
            <w:tcW w:w="1530" w:type="dxa"/>
          </w:tcPr>
          <w:p w:rsidR="00E247A9" w:rsidRDefault="00E247A9" w:rsidP="00E247A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</w:t>
            </w:r>
            <w:r w:rsidRPr="00E247A9">
              <w:rPr>
                <w:rFonts w:ascii="Arial" w:hAnsi="Arial" w:cs="Arial"/>
                <w:sz w:val="20"/>
                <w:szCs w:val="20"/>
              </w:rPr>
              <w:t>282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E247A9">
              <w:rPr>
                <w:rFonts w:ascii="Arial" w:hAnsi="Arial" w:cs="Arial"/>
                <w:sz w:val="20"/>
                <w:szCs w:val="20"/>
              </w:rPr>
              <w:t>463</w:t>
            </w:r>
          </w:p>
        </w:tc>
        <w:tc>
          <w:tcPr>
            <w:tcW w:w="1350" w:type="dxa"/>
          </w:tcPr>
          <w:p w:rsidR="00E247A9" w:rsidRDefault="00E247A9" w:rsidP="00E247A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47A9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E247A9">
              <w:rPr>
                <w:rFonts w:ascii="Arial" w:hAnsi="Arial" w:cs="Arial"/>
                <w:sz w:val="20"/>
                <w:szCs w:val="20"/>
              </w:rPr>
              <w:t>047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E247A9">
              <w:rPr>
                <w:rFonts w:ascii="Arial" w:hAnsi="Arial" w:cs="Arial"/>
                <w:sz w:val="20"/>
                <w:szCs w:val="20"/>
              </w:rPr>
              <w:t>755</w:t>
            </w:r>
          </w:p>
        </w:tc>
        <w:tc>
          <w:tcPr>
            <w:tcW w:w="4968" w:type="dxa"/>
          </w:tcPr>
          <w:p w:rsidR="00E247A9" w:rsidRDefault="00E247A9" w:rsidP="00E247A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47A9">
              <w:rPr>
                <w:rFonts w:ascii="Arial" w:hAnsi="Arial" w:cs="Arial"/>
                <w:sz w:val="20"/>
                <w:szCs w:val="20"/>
              </w:rPr>
              <w:t>(2</w:t>
            </w:r>
            <w:r>
              <w:rPr>
                <w:rFonts w:ascii="Arial" w:hAnsi="Arial" w:cs="Arial"/>
                <w:sz w:val="20"/>
                <w:szCs w:val="20"/>
              </w:rPr>
              <w:t>34,708) (equivalent to a decrease of 18.</w:t>
            </w:r>
            <w:r w:rsidRPr="00E247A9">
              <w:rPr>
                <w:rFonts w:ascii="Arial" w:hAnsi="Arial" w:cs="Arial"/>
                <w:sz w:val="20"/>
                <w:szCs w:val="20"/>
              </w:rPr>
              <w:t>31%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E247A9" w:rsidRDefault="00E247A9" w:rsidP="006C322E">
      <w:pPr>
        <w:jc w:val="both"/>
        <w:rPr>
          <w:rFonts w:ascii="Arial" w:hAnsi="Arial" w:cs="Arial"/>
          <w:sz w:val="20"/>
          <w:szCs w:val="20"/>
        </w:rPr>
      </w:pPr>
    </w:p>
    <w:p w:rsidR="00E247A9" w:rsidRDefault="00E247A9" w:rsidP="006C322E">
      <w:pPr>
        <w:jc w:val="both"/>
        <w:rPr>
          <w:rFonts w:ascii="Arial" w:hAnsi="Arial" w:cs="Arial"/>
          <w:sz w:val="20"/>
          <w:szCs w:val="20"/>
        </w:rPr>
      </w:pPr>
      <w:r w:rsidRPr="00E247A9">
        <w:rPr>
          <w:rFonts w:ascii="Arial" w:hAnsi="Arial" w:cs="Arial"/>
          <w:sz w:val="20"/>
          <w:szCs w:val="20"/>
        </w:rPr>
        <w:t>The main reason for the decline in profit after tax in 2019 compared to 2</w:t>
      </w:r>
      <w:r>
        <w:rPr>
          <w:rFonts w:ascii="Arial" w:hAnsi="Arial" w:cs="Arial"/>
          <w:sz w:val="20"/>
          <w:szCs w:val="20"/>
        </w:rPr>
        <w:t>018 was</w:t>
      </w:r>
      <w:r w:rsidRPr="00E247A9">
        <w:rPr>
          <w:rFonts w:ascii="Arial" w:hAnsi="Arial" w:cs="Arial"/>
          <w:sz w:val="20"/>
          <w:szCs w:val="20"/>
        </w:rPr>
        <w:t xml:space="preserve"> due to unfavorable hydro</w:t>
      </w:r>
      <w:r>
        <w:rPr>
          <w:rFonts w:ascii="Arial" w:hAnsi="Arial" w:cs="Arial"/>
          <w:sz w:val="20"/>
          <w:szCs w:val="20"/>
        </w:rPr>
        <w:t>logical situation, which reduced revenue and profits</w:t>
      </w:r>
    </w:p>
    <w:p w:rsidR="00E247A9" w:rsidRDefault="00E247A9" w:rsidP="006C322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Pr="00E247A9">
        <w:rPr>
          <w:rFonts w:ascii="Arial" w:hAnsi="Arial" w:cs="Arial"/>
          <w:sz w:val="20"/>
          <w:szCs w:val="20"/>
        </w:rPr>
        <w:t xml:space="preserve">Consolidated financial statements </w:t>
      </w:r>
    </w:p>
    <w:p w:rsidR="00E247A9" w:rsidRDefault="00E247A9" w:rsidP="006C322E">
      <w:pPr>
        <w:jc w:val="both"/>
        <w:rPr>
          <w:rFonts w:ascii="Arial" w:hAnsi="Arial" w:cs="Arial"/>
          <w:sz w:val="20"/>
          <w:szCs w:val="20"/>
        </w:rPr>
      </w:pPr>
      <w:r w:rsidRPr="00E247A9">
        <w:rPr>
          <w:rFonts w:ascii="Arial" w:hAnsi="Arial" w:cs="Arial"/>
          <w:sz w:val="20"/>
          <w:szCs w:val="20"/>
        </w:rPr>
        <w:t xml:space="preserve">Unit: </w:t>
      </w:r>
      <w:r>
        <w:rPr>
          <w:rFonts w:ascii="Arial" w:hAnsi="Arial" w:cs="Arial"/>
          <w:sz w:val="20"/>
          <w:szCs w:val="20"/>
        </w:rPr>
        <w:t xml:space="preserve">million dongs </w:t>
      </w:r>
    </w:p>
    <w:p w:rsidR="00E247A9" w:rsidRDefault="00E247A9" w:rsidP="006C322E">
      <w:pPr>
        <w:jc w:val="both"/>
        <w:rPr>
          <w:rFonts w:ascii="Arial" w:hAnsi="Arial" w:cs="Arial"/>
          <w:sz w:val="20"/>
          <w:szCs w:val="20"/>
        </w:rPr>
      </w:pPr>
      <w:r w:rsidRPr="00E247A9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1260"/>
        <w:gridCol w:w="1260"/>
        <w:gridCol w:w="5508"/>
      </w:tblGrid>
      <w:tr w:rsidR="00E247A9" w:rsidTr="00E247A9">
        <w:tc>
          <w:tcPr>
            <w:tcW w:w="1548" w:type="dxa"/>
          </w:tcPr>
          <w:p w:rsidR="00E247A9" w:rsidRDefault="00E247A9" w:rsidP="00C2133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Indicator</w:t>
            </w:r>
          </w:p>
        </w:tc>
        <w:tc>
          <w:tcPr>
            <w:tcW w:w="1260" w:type="dxa"/>
          </w:tcPr>
          <w:p w:rsidR="00E247A9" w:rsidRDefault="00E247A9" w:rsidP="00C2133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47A9">
              <w:rPr>
                <w:rFonts w:ascii="Arial" w:hAnsi="Arial" w:cs="Arial"/>
                <w:sz w:val="20"/>
                <w:szCs w:val="20"/>
              </w:rPr>
              <w:t>Year 2018</w:t>
            </w:r>
          </w:p>
        </w:tc>
        <w:tc>
          <w:tcPr>
            <w:tcW w:w="1260" w:type="dxa"/>
          </w:tcPr>
          <w:p w:rsidR="00E247A9" w:rsidRDefault="00E247A9" w:rsidP="00C2133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47A9">
              <w:rPr>
                <w:rFonts w:ascii="Arial" w:hAnsi="Arial" w:cs="Arial"/>
                <w:sz w:val="20"/>
                <w:szCs w:val="20"/>
              </w:rPr>
              <w:t>Year 2019</w:t>
            </w:r>
          </w:p>
        </w:tc>
        <w:tc>
          <w:tcPr>
            <w:tcW w:w="5508" w:type="dxa"/>
          </w:tcPr>
          <w:p w:rsidR="00E247A9" w:rsidRDefault="00E247A9" w:rsidP="00C2133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47A9">
              <w:rPr>
                <w:rFonts w:ascii="Arial" w:hAnsi="Arial" w:cs="Arial"/>
                <w:sz w:val="20"/>
                <w:szCs w:val="20"/>
              </w:rPr>
              <w:t xml:space="preserve">Difference </w:t>
            </w:r>
            <w:r>
              <w:rPr>
                <w:rFonts w:ascii="Arial" w:hAnsi="Arial" w:cs="Arial"/>
                <w:sz w:val="20"/>
                <w:szCs w:val="20"/>
              </w:rPr>
              <w:t>(increase /</w:t>
            </w:r>
            <w:r w:rsidRPr="00E247A9">
              <w:rPr>
                <w:rFonts w:ascii="Arial" w:hAnsi="Arial" w:cs="Arial"/>
                <w:sz w:val="20"/>
                <w:szCs w:val="20"/>
              </w:rPr>
              <w:t>decrease)</w:t>
            </w:r>
          </w:p>
        </w:tc>
      </w:tr>
      <w:tr w:rsidR="00E247A9" w:rsidTr="00E247A9">
        <w:tc>
          <w:tcPr>
            <w:tcW w:w="1548" w:type="dxa"/>
          </w:tcPr>
          <w:p w:rsidR="00E247A9" w:rsidRDefault="00E247A9" w:rsidP="00C2133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47A9">
              <w:rPr>
                <w:rFonts w:ascii="Arial" w:hAnsi="Arial" w:cs="Arial"/>
                <w:sz w:val="20"/>
                <w:szCs w:val="20"/>
              </w:rPr>
              <w:t>Profit after tax</w:t>
            </w:r>
          </w:p>
        </w:tc>
        <w:tc>
          <w:tcPr>
            <w:tcW w:w="1260" w:type="dxa"/>
          </w:tcPr>
          <w:p w:rsidR="00E247A9" w:rsidRDefault="00E247A9" w:rsidP="00C2133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</w:t>
            </w:r>
            <w:r w:rsidRPr="00E247A9">
              <w:rPr>
                <w:rFonts w:ascii="Arial" w:hAnsi="Arial" w:cs="Arial"/>
                <w:sz w:val="20"/>
                <w:szCs w:val="20"/>
              </w:rPr>
              <w:t>285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E247A9">
              <w:rPr>
                <w:rFonts w:ascii="Arial" w:hAnsi="Arial" w:cs="Arial"/>
                <w:sz w:val="20"/>
                <w:szCs w:val="20"/>
              </w:rPr>
              <w:t>177</w:t>
            </w:r>
          </w:p>
        </w:tc>
        <w:tc>
          <w:tcPr>
            <w:tcW w:w="1260" w:type="dxa"/>
          </w:tcPr>
          <w:p w:rsidR="00E247A9" w:rsidRDefault="00E247A9" w:rsidP="00C2133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</w:t>
            </w:r>
            <w:r w:rsidRPr="00E247A9">
              <w:rPr>
                <w:rFonts w:ascii="Arial" w:hAnsi="Arial" w:cs="Arial"/>
                <w:sz w:val="20"/>
                <w:szCs w:val="20"/>
              </w:rPr>
              <w:t>047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E247A9">
              <w:rPr>
                <w:rFonts w:ascii="Arial" w:hAnsi="Arial" w:cs="Arial"/>
                <w:sz w:val="20"/>
                <w:szCs w:val="20"/>
              </w:rPr>
              <w:t>516</w:t>
            </w:r>
          </w:p>
        </w:tc>
        <w:tc>
          <w:tcPr>
            <w:tcW w:w="5508" w:type="dxa"/>
          </w:tcPr>
          <w:p w:rsidR="00E247A9" w:rsidRDefault="00E247A9" w:rsidP="00E247A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(237,</w:t>
            </w:r>
            <w:r w:rsidRPr="00E247A9">
              <w:rPr>
                <w:rFonts w:ascii="Arial" w:hAnsi="Arial" w:cs="Arial"/>
                <w:sz w:val="20"/>
                <w:szCs w:val="20"/>
              </w:rPr>
              <w:t>661) (equivalent to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reduction of 18.</w:t>
            </w:r>
            <w:r w:rsidRPr="00E247A9">
              <w:rPr>
                <w:rFonts w:ascii="Arial" w:hAnsi="Arial" w:cs="Arial"/>
                <w:sz w:val="20"/>
                <w:szCs w:val="20"/>
              </w:rPr>
              <w:t>50%)</w:t>
            </w:r>
          </w:p>
        </w:tc>
      </w:tr>
    </w:tbl>
    <w:p w:rsidR="00E247A9" w:rsidRDefault="00E247A9" w:rsidP="006C322E">
      <w:pPr>
        <w:jc w:val="both"/>
        <w:rPr>
          <w:rFonts w:ascii="Arial" w:hAnsi="Arial" w:cs="Arial"/>
          <w:sz w:val="20"/>
          <w:szCs w:val="20"/>
        </w:rPr>
      </w:pPr>
    </w:p>
    <w:p w:rsidR="00E247A9" w:rsidRDefault="00E247A9" w:rsidP="006C322E">
      <w:pPr>
        <w:jc w:val="both"/>
        <w:rPr>
          <w:rFonts w:ascii="Arial" w:hAnsi="Arial" w:cs="Arial"/>
          <w:sz w:val="20"/>
          <w:szCs w:val="20"/>
        </w:rPr>
      </w:pPr>
      <w:r w:rsidRPr="00E247A9">
        <w:rPr>
          <w:rFonts w:ascii="Arial" w:hAnsi="Arial" w:cs="Arial"/>
          <w:sz w:val="20"/>
          <w:szCs w:val="20"/>
        </w:rPr>
        <w:t>The main reason for the decline in profit after</w:t>
      </w:r>
      <w:r>
        <w:rPr>
          <w:rFonts w:ascii="Arial" w:hAnsi="Arial" w:cs="Arial"/>
          <w:sz w:val="20"/>
          <w:szCs w:val="20"/>
        </w:rPr>
        <w:t xml:space="preserve"> tax in 2019 compared to 2018 was</w:t>
      </w:r>
      <w:r w:rsidRPr="00E247A9">
        <w:rPr>
          <w:rFonts w:ascii="Arial" w:hAnsi="Arial" w:cs="Arial"/>
          <w:sz w:val="20"/>
          <w:szCs w:val="20"/>
        </w:rPr>
        <w:t xml:space="preserve"> due to unfavorable hydrological situation, resulting in reduced</w:t>
      </w:r>
      <w:r>
        <w:rPr>
          <w:rFonts w:ascii="Arial" w:hAnsi="Arial" w:cs="Arial"/>
          <w:sz w:val="20"/>
          <w:szCs w:val="20"/>
        </w:rPr>
        <w:t xml:space="preserve"> revenue, reduced profit and profit</w:t>
      </w:r>
      <w:r w:rsidRPr="00E247A9">
        <w:rPr>
          <w:rFonts w:ascii="Arial" w:hAnsi="Arial" w:cs="Arial"/>
          <w:sz w:val="20"/>
          <w:szCs w:val="20"/>
        </w:rPr>
        <w:t xml:space="preserve"> fr</w:t>
      </w:r>
      <w:r>
        <w:rPr>
          <w:rFonts w:ascii="Arial" w:hAnsi="Arial" w:cs="Arial"/>
          <w:sz w:val="20"/>
          <w:szCs w:val="20"/>
        </w:rPr>
        <w:t>om associated companies</w:t>
      </w:r>
      <w:r w:rsidRPr="00E247A9">
        <w:rPr>
          <w:rFonts w:ascii="Arial" w:hAnsi="Arial" w:cs="Arial"/>
          <w:sz w:val="20"/>
          <w:szCs w:val="20"/>
        </w:rPr>
        <w:t xml:space="preserve"> decreased</w:t>
      </w:r>
      <w:r>
        <w:rPr>
          <w:rFonts w:ascii="Arial" w:hAnsi="Arial" w:cs="Arial"/>
          <w:sz w:val="20"/>
          <w:szCs w:val="20"/>
        </w:rPr>
        <w:t xml:space="preserve"> compared to the previous year</w:t>
      </w:r>
      <w:bookmarkStart w:id="0" w:name="_GoBack"/>
      <w:bookmarkEnd w:id="0"/>
    </w:p>
    <w:sectPr w:rsidR="00E247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26B30"/>
    <w:rsid w:val="00041B1A"/>
    <w:rsid w:val="000A79D8"/>
    <w:rsid w:val="00125C9D"/>
    <w:rsid w:val="001654BA"/>
    <w:rsid w:val="0026711C"/>
    <w:rsid w:val="00303E63"/>
    <w:rsid w:val="00330005"/>
    <w:rsid w:val="00383720"/>
    <w:rsid w:val="003A771E"/>
    <w:rsid w:val="00467BC0"/>
    <w:rsid w:val="00496733"/>
    <w:rsid w:val="00526862"/>
    <w:rsid w:val="005B0276"/>
    <w:rsid w:val="005E7D00"/>
    <w:rsid w:val="006C322E"/>
    <w:rsid w:val="006C595B"/>
    <w:rsid w:val="006E13A2"/>
    <w:rsid w:val="00701F46"/>
    <w:rsid w:val="007028B7"/>
    <w:rsid w:val="00745D9A"/>
    <w:rsid w:val="00772421"/>
    <w:rsid w:val="00780578"/>
    <w:rsid w:val="008078B6"/>
    <w:rsid w:val="0088081B"/>
    <w:rsid w:val="00887C3A"/>
    <w:rsid w:val="00A62855"/>
    <w:rsid w:val="00A81EB3"/>
    <w:rsid w:val="00AA01BA"/>
    <w:rsid w:val="00AA514E"/>
    <w:rsid w:val="00AF67BE"/>
    <w:rsid w:val="00BA2166"/>
    <w:rsid w:val="00BC5B0A"/>
    <w:rsid w:val="00C72FFB"/>
    <w:rsid w:val="00CA6F06"/>
    <w:rsid w:val="00D4513B"/>
    <w:rsid w:val="00E247A9"/>
    <w:rsid w:val="00E36A48"/>
    <w:rsid w:val="00F02E19"/>
    <w:rsid w:val="00F163FC"/>
    <w:rsid w:val="00F655B9"/>
    <w:rsid w:val="00F85153"/>
    <w:rsid w:val="00F943F6"/>
    <w:rsid w:val="00FD731F"/>
    <w:rsid w:val="00FF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E36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E36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48</cp:revision>
  <dcterms:created xsi:type="dcterms:W3CDTF">2019-10-16T10:03:00Z</dcterms:created>
  <dcterms:modified xsi:type="dcterms:W3CDTF">2020-03-25T08:06:00Z</dcterms:modified>
</cp:coreProperties>
</file>